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1C33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155FFA6C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Шалимова Егора Алексеевича, </w:t>
      </w:r>
    </w:p>
    <w:p w14:paraId="565F43DE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51D77A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1BD41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«31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июля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78E4D3B0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61ED3C3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ФИО должника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: Шалимов Егор Алексеевич</w:t>
      </w:r>
    </w:p>
    <w:p w14:paraId="7578C328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1"/>
          <w:szCs w:val="21"/>
        </w:rPr>
      </w:pP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 xml:space="preserve">Дата рождения: </w:t>
      </w:r>
      <w:r>
        <w:rPr>
          <w:rFonts w:hint="default" w:ascii="Times New Roman" w:hAnsi="Times New Roman" w:eastAsia="SimSun" w:cs="Times New Roman"/>
          <w:sz w:val="22"/>
          <w:szCs w:val="22"/>
        </w:rPr>
        <w:t>04.07.2004</w:t>
      </w:r>
      <w:r>
        <w:rPr>
          <w:rFonts w:hint="default" w:ascii="Times New Roman" w:hAnsi="Times New Roman" w:eastAsia="SimSun" w:cs="Times New Roman"/>
          <w:sz w:val="21"/>
          <w:szCs w:val="21"/>
        </w:rPr>
        <w:t xml:space="preserve">  г.р</w:t>
      </w:r>
    </w:p>
    <w:p w14:paraId="36D34A31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1"/>
          <w:szCs w:val="21"/>
        </w:rPr>
      </w:pPr>
      <w:r>
        <w:rPr>
          <w:rFonts w:hint="default" w:ascii="Times New Roman" w:hAnsi="Times New Roman" w:eastAsia="SimSun" w:cs="Times New Roman"/>
          <w:sz w:val="21"/>
          <w:szCs w:val="21"/>
          <w:lang w:val="ru-RU"/>
        </w:rPr>
        <w:t xml:space="preserve">Адрес регистрации: </w:t>
      </w:r>
      <w:r>
        <w:rPr>
          <w:rFonts w:hint="default" w:ascii="Times New Roman" w:hAnsi="Times New Roman" w:eastAsia="SimSun" w:cs="Times New Roman"/>
          <w:sz w:val="22"/>
          <w:szCs w:val="22"/>
        </w:rPr>
        <w:t>628680, Ханты-Мансийский автономный округ - Югра, г. Мегион, ул. Пионерская, д. 4, кв. 5</w:t>
      </w:r>
    </w:p>
    <w:p w14:paraId="5423A5C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1"/>
          <w:szCs w:val="21"/>
        </w:rPr>
      </w:pPr>
      <w:r>
        <w:rPr>
          <w:rFonts w:hint="default" w:ascii="Times New Roman" w:hAnsi="Times New Roman" w:eastAsia="SimSun" w:cs="Times New Roman"/>
          <w:sz w:val="21"/>
          <w:szCs w:val="21"/>
          <w:lang w:val="ru-RU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158-818-500 03</w:t>
      </w:r>
    </w:p>
    <w:p w14:paraId="5F23FC7A">
      <w:pPr>
        <w:spacing w:after="0" w:line="240" w:lineRule="auto"/>
        <w:contextualSpacing/>
        <w:jc w:val="both"/>
        <w:rPr>
          <w:rFonts w:ascii="SimSun" w:hAnsi="SimSun" w:eastAsia="SimSun" w:cs="SimSu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1"/>
          <w:szCs w:val="21"/>
          <w:lang w:val="ru-RU"/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023303460252</w:t>
      </w:r>
    </w:p>
    <w:p w14:paraId="1678CB4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Ханты-Мансийского автономного округа-Югры </w:t>
      </w:r>
    </w:p>
    <w:p w14:paraId="41583FB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75</w:t>
      </w:r>
      <w:r>
        <w:rPr>
          <w:rFonts w:hint="default" w:ascii="Times New Roman" w:hAnsi="Times New Roman" w:eastAsia="SimSun" w:cs="Times New Roman"/>
          <w:sz w:val="22"/>
          <w:szCs w:val="22"/>
        </w:rPr>
        <w:t>-</w:t>
      </w:r>
      <w:r>
        <w:rPr>
          <w:rFonts w:hint="default" w:ascii="Times New Roman" w:hAnsi="Times New Roman" w:eastAsia="SimSun" w:cs="Times New Roman"/>
          <w:sz w:val="22"/>
          <w:szCs w:val="22"/>
          <w:lang w:val="ru-RU"/>
        </w:rPr>
        <w:t>21614</w:t>
      </w:r>
      <w:r>
        <w:rPr>
          <w:rFonts w:hint="default" w:ascii="Times New Roman" w:hAnsi="Times New Roman" w:eastAsia="SimSun" w:cs="Times New Roman"/>
          <w:sz w:val="22"/>
          <w:szCs w:val="22"/>
        </w:rPr>
        <w:t>/2024</w:t>
      </w:r>
    </w:p>
    <w:p w14:paraId="6F92865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Форма проведения собрания кредиторов: заочное голосование</w:t>
      </w:r>
    </w:p>
    <w:p w14:paraId="41D2D17F">
      <w:pPr>
        <w:jc w:val="both"/>
        <w:rPr>
          <w:rFonts w:hint="default"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</w:p>
    <w:p w14:paraId="294566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07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401B3B7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E6E5D5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Шалимова Е.А.</w:t>
      </w:r>
    </w:p>
    <w:p w14:paraId="0D2F770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</w:p>
    <w:p w14:paraId="7E327AC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DD662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5D2DFE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52432BF0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E0E05B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3B84E58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F0A09E9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Шалимова Е.А.</w:t>
      </w:r>
    </w:p>
    <w:p w14:paraId="75108A8F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35720E46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3. 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33342904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31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июля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по адресу: </w:t>
      </w:r>
      <w:r>
        <w:rPr>
          <w:rFonts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04985A4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BBADAC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7C69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8238E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F7F88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1D658F"/>
    <w:rsid w:val="00210489"/>
    <w:rsid w:val="00217185"/>
    <w:rsid w:val="002A39B9"/>
    <w:rsid w:val="002F340B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9177DA2"/>
    <w:rsid w:val="0A984708"/>
    <w:rsid w:val="0BFD6EBB"/>
    <w:rsid w:val="0C4941F9"/>
    <w:rsid w:val="0E0B0E2E"/>
    <w:rsid w:val="0ECB06A8"/>
    <w:rsid w:val="10C649C4"/>
    <w:rsid w:val="182233A3"/>
    <w:rsid w:val="19EF122D"/>
    <w:rsid w:val="1BCD5E44"/>
    <w:rsid w:val="1D6C4F60"/>
    <w:rsid w:val="206E6E58"/>
    <w:rsid w:val="25121C9A"/>
    <w:rsid w:val="278E3EBB"/>
    <w:rsid w:val="29ED4D63"/>
    <w:rsid w:val="2A7D1229"/>
    <w:rsid w:val="2E8944E5"/>
    <w:rsid w:val="2F302D5E"/>
    <w:rsid w:val="329A5E2F"/>
    <w:rsid w:val="36B9619D"/>
    <w:rsid w:val="39815EE5"/>
    <w:rsid w:val="40882E6C"/>
    <w:rsid w:val="40BF21AB"/>
    <w:rsid w:val="4F2331F9"/>
    <w:rsid w:val="51137350"/>
    <w:rsid w:val="51253231"/>
    <w:rsid w:val="53B95CBB"/>
    <w:rsid w:val="577947B2"/>
    <w:rsid w:val="5D3B6FDF"/>
    <w:rsid w:val="5DA51FB1"/>
    <w:rsid w:val="62A734E8"/>
    <w:rsid w:val="62FA0960"/>
    <w:rsid w:val="65E826C0"/>
    <w:rsid w:val="674700FE"/>
    <w:rsid w:val="6E0D5492"/>
    <w:rsid w:val="73EA383A"/>
    <w:rsid w:val="74EE515B"/>
    <w:rsid w:val="767924FC"/>
    <w:rsid w:val="77A06978"/>
    <w:rsid w:val="7AA2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6</TotalTime>
  <ScaleCrop>false</ScaleCrop>
  <LinksUpToDate>false</LinksUpToDate>
  <CharactersWithSpaces>2175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2025-08-05T08:30:01Z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EDA71D3473894B95BF8C084D6C9FFD11_13</vt:lpwstr>
  </property>
</Properties>
</file>